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F778" w14:textId="3CA5295D" w:rsidR="002C7056" w:rsidRDefault="002C7056" w:rsidP="0051713F">
      <w:pP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</w:pPr>
      <w:r>
        <w:rPr>
          <w:rFonts w:asciiTheme="majorHAnsi" w:eastAsiaTheme="majorEastAsia" w:hAnsi="Avenir Next LT Pro" w:cstheme="majorBidi"/>
          <w:noProof/>
          <w:color w:val="44546A" w:themeColor="text2"/>
          <w:kern w:val="24"/>
          <w:sz w:val="28"/>
          <w:szCs w:val="28"/>
        </w:rPr>
        <w:drawing>
          <wp:inline distT="0" distB="0" distL="0" distR="0" wp14:anchorId="1FF8EED3" wp14:editId="09D5637B">
            <wp:extent cx="1003120" cy="695325"/>
            <wp:effectExtent l="0" t="0" r="698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56" cy="70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ab/>
      </w: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ab/>
      </w: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ab/>
      </w: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ab/>
      </w: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ab/>
      </w: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ab/>
      </w: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ab/>
      </w: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ab/>
      </w:r>
      <w:r>
        <w:rPr>
          <w:rFonts w:asciiTheme="majorHAnsi" w:eastAsiaTheme="majorEastAsia" w:hAnsi="Avenir Next LT Pro" w:cstheme="majorBidi"/>
          <w:noProof/>
          <w:color w:val="44546A" w:themeColor="text2"/>
          <w:kern w:val="24"/>
          <w:sz w:val="28"/>
          <w:szCs w:val="28"/>
        </w:rPr>
        <w:drawing>
          <wp:inline distT="0" distB="0" distL="0" distR="0" wp14:anchorId="3E90051A" wp14:editId="2CE7333B">
            <wp:extent cx="961042" cy="4762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0" cy="48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50F8" w14:textId="07C44AF9" w:rsidR="005A6012" w:rsidRDefault="005A6012" w:rsidP="0051713F">
      <w:pP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</w:pPr>
      <w:r w:rsidRPr="005A6012"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>2021 Western Wildfire Season</w:t>
      </w: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 xml:space="preserve"> </w:t>
      </w:r>
      <w:r w:rsidRPr="005A6012"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>Impacts on Air Quality</w:t>
      </w:r>
    </w:p>
    <w:p w14:paraId="4D58CE15" w14:textId="79F33541" w:rsidR="005A6012" w:rsidRDefault="005A6012" w:rsidP="0051713F">
      <w:pP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</w:pP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>Western Regional Assessment outline</w:t>
      </w:r>
    </w:p>
    <w:p w14:paraId="13432F34" w14:textId="29A2CDAF" w:rsidR="005A6012" w:rsidRPr="005A6012" w:rsidRDefault="005A6012" w:rsidP="0051713F">
      <w:pPr>
        <w:rPr>
          <w:sz w:val="4"/>
          <w:szCs w:val="4"/>
        </w:rPr>
      </w:pP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>May 1</w:t>
      </w:r>
      <w:r w:rsidR="00BC3887"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>7</w:t>
      </w:r>
      <w:r>
        <w:rPr>
          <w:rFonts w:asciiTheme="majorHAnsi" w:eastAsiaTheme="majorEastAsia" w:hAnsi="Avenir Next LT Pro" w:cstheme="majorBidi"/>
          <w:color w:val="44546A" w:themeColor="text2"/>
          <w:kern w:val="24"/>
          <w:sz w:val="28"/>
          <w:szCs w:val="28"/>
        </w:rPr>
        <w:t>, 2022 draft</w:t>
      </w:r>
    </w:p>
    <w:p w14:paraId="74F94104" w14:textId="69B9FD41" w:rsidR="005A6012" w:rsidRDefault="005A6012" w:rsidP="0051713F"/>
    <w:p w14:paraId="1F359642" w14:textId="5BFBB621" w:rsidR="005A6012" w:rsidRPr="00102E61" w:rsidRDefault="005A6012" w:rsidP="0051713F">
      <w:pPr>
        <w:rPr>
          <w:u w:val="single"/>
        </w:rPr>
      </w:pPr>
      <w:r w:rsidRPr="00102E61">
        <w:rPr>
          <w:u w:val="single"/>
        </w:rPr>
        <w:t>Background</w:t>
      </w:r>
    </w:p>
    <w:p w14:paraId="3B04B610" w14:textId="30045B21" w:rsidR="00DC476B" w:rsidRDefault="005A6012" w:rsidP="00DC476B">
      <w:r>
        <w:t xml:space="preserve">Impacts from 2021 </w:t>
      </w:r>
      <w:r w:rsidR="00995393">
        <w:t xml:space="preserve">wildfire </w:t>
      </w:r>
      <w:r>
        <w:t xml:space="preserve">smoke were very widespread across the West and affected several months of monitoring data </w:t>
      </w:r>
      <w:r w:rsidR="00995393">
        <w:t xml:space="preserve">at many sites </w:t>
      </w:r>
      <w:r>
        <w:t>related to compliance with the PM</w:t>
      </w:r>
      <w:r w:rsidRPr="00995393">
        <w:rPr>
          <w:vertAlign w:val="subscript"/>
        </w:rPr>
        <w:t>2.5</w:t>
      </w:r>
      <w:r w:rsidR="00995393">
        <w:t xml:space="preserve">, </w:t>
      </w:r>
      <w:r>
        <w:t>PM</w:t>
      </w:r>
      <w:r w:rsidRPr="00995393">
        <w:rPr>
          <w:vertAlign w:val="subscript"/>
        </w:rPr>
        <w:t>10</w:t>
      </w:r>
      <w:r>
        <w:t>, and Ozone NAAQS</w:t>
      </w:r>
      <w:r w:rsidR="00995393">
        <w:t>. Monitoring sites affected included attainment, nonattainment, and maintenance sites.</w:t>
      </w:r>
      <w:r w:rsidR="00F96F63">
        <w:t xml:space="preserve"> With both the PM and Ozone NAAQS currently under review and possibly subject to change, the 2021 impacts may be very significant for revised NAAQS.</w:t>
      </w:r>
      <w:r w:rsidR="002C7056">
        <w:t xml:space="preserve">  The scale of the wildfire impacts suggests a very large amount of work by states and local air agencies to file Exceptional Event demonstrations.</w:t>
      </w:r>
      <w:r w:rsidR="00F96F63">
        <w:t xml:space="preserve">  The lengthening of the wildfire season and increase in acres burned over the past several years drives the need to consider whether the Exceptional Events rule analysis</w:t>
      </w:r>
      <w:r w:rsidR="002C7056">
        <w:t>-demonstration-</w:t>
      </w:r>
      <w:r w:rsidR="00FD0B90">
        <w:t>concurrence</w:t>
      </w:r>
      <w:r w:rsidR="00F96F63">
        <w:t xml:space="preserve"> process is </w:t>
      </w:r>
      <w:r w:rsidR="00FD0B90">
        <w:t xml:space="preserve">efficient and able to </w:t>
      </w:r>
      <w:r w:rsidR="00F96F63">
        <w:t>function well. The goal of this assessment is to fully lay out the impacted sites and data from the Summer and Fall 2021 on a regi</w:t>
      </w:r>
      <w:r w:rsidR="00C54023">
        <w:t>o</w:t>
      </w:r>
      <w:r w:rsidR="00F96F63">
        <w:t>nal basis to fac</w:t>
      </w:r>
      <w:r w:rsidR="00DC476B">
        <w:t>i</w:t>
      </w:r>
      <w:r w:rsidR="00F96F63">
        <w:t xml:space="preserve">litate dialogue </w:t>
      </w:r>
      <w:r w:rsidR="00DC476B">
        <w:t>about wildfire impacts</w:t>
      </w:r>
      <w:r w:rsidR="00F96F63">
        <w:t>.</w:t>
      </w:r>
      <w:r>
        <w:t xml:space="preserve"> </w:t>
      </w:r>
    </w:p>
    <w:p w14:paraId="3503E1E9" w14:textId="21A6B517" w:rsidR="00DC476B" w:rsidRPr="00102E61" w:rsidRDefault="00DC476B" w:rsidP="00DC476B">
      <w:pPr>
        <w:rPr>
          <w:u w:val="single"/>
        </w:rPr>
      </w:pPr>
      <w:r w:rsidRPr="00102E61">
        <w:rPr>
          <w:u w:val="single"/>
        </w:rPr>
        <w:t>Regional Assessment Elements</w:t>
      </w:r>
    </w:p>
    <w:p w14:paraId="5F789940" w14:textId="3CFB0F73" w:rsidR="005A6012" w:rsidRDefault="005A6012" w:rsidP="005A6012">
      <w:pPr>
        <w:pStyle w:val="ListParagraph"/>
        <w:numPr>
          <w:ilvl w:val="0"/>
          <w:numId w:val="1"/>
        </w:numPr>
      </w:pPr>
      <w:r>
        <w:t>Sheer number of impacted site-days: “seasonal” impacts vs. discrete fire impacts on specific</w:t>
      </w:r>
      <w:r w:rsidR="00DC476B">
        <w:t xml:space="preserve"> </w:t>
      </w:r>
      <w:r>
        <w:t>site-days</w:t>
      </w:r>
      <w:r w:rsidR="00FD0B90">
        <w:t xml:space="preserve"> by air quality mgmt. jurisdiction</w:t>
      </w:r>
    </w:p>
    <w:p w14:paraId="309C038B" w14:textId="6DF70BD1" w:rsidR="005A6012" w:rsidRDefault="005A6012" w:rsidP="005A6012">
      <w:pPr>
        <w:pStyle w:val="ListParagraph"/>
        <w:numPr>
          <w:ilvl w:val="0"/>
          <w:numId w:val="1"/>
        </w:numPr>
      </w:pPr>
      <w:r>
        <w:t>Many of these “site-days” are uncontrollable in terms of meeting a NAAQS</w:t>
      </w:r>
    </w:p>
    <w:p w14:paraId="40037243" w14:textId="77777777" w:rsidR="00DC476B" w:rsidRDefault="005A6012" w:rsidP="005A6012">
      <w:pPr>
        <w:pStyle w:val="ListParagraph"/>
        <w:numPr>
          <w:ilvl w:val="0"/>
          <w:numId w:val="1"/>
        </w:numPr>
      </w:pPr>
      <w:r>
        <w:t>More stringent future levels for PM and Ozone NAAQS – does more site-days analysis help?</w:t>
      </w:r>
    </w:p>
    <w:p w14:paraId="09A33FA7" w14:textId="55A1ECBA" w:rsidR="005A6012" w:rsidRDefault="005A6012" w:rsidP="005A6012">
      <w:pPr>
        <w:pStyle w:val="ListParagraph"/>
        <w:numPr>
          <w:ilvl w:val="0"/>
          <w:numId w:val="1"/>
        </w:numPr>
      </w:pPr>
      <w:r>
        <w:t>Maps of time periods and geographic areas broadly impacted by smoke – regional analysis</w:t>
      </w:r>
    </w:p>
    <w:p w14:paraId="5EF276D2" w14:textId="43BD416D" w:rsidR="005A6012" w:rsidRPr="00102E61" w:rsidRDefault="00DC476B" w:rsidP="0051713F">
      <w:pPr>
        <w:rPr>
          <w:u w:val="single"/>
        </w:rPr>
      </w:pPr>
      <w:r w:rsidRPr="00102E61">
        <w:rPr>
          <w:u w:val="single"/>
        </w:rPr>
        <w:t>Data Review</w:t>
      </w:r>
    </w:p>
    <w:p w14:paraId="36F05A17" w14:textId="77777777" w:rsidR="00DC476B" w:rsidRDefault="0051713F" w:rsidP="00DC476B">
      <w:pPr>
        <w:pStyle w:val="ListParagraph"/>
        <w:numPr>
          <w:ilvl w:val="0"/>
          <w:numId w:val="2"/>
        </w:numPr>
      </w:pPr>
      <w:r>
        <w:t xml:space="preserve">AQS data for 2021 </w:t>
      </w:r>
      <w:r w:rsidR="00DC476B">
        <w:t>are</w:t>
      </w:r>
      <w:r>
        <w:t xml:space="preserve"> “certified” as of May 1</w:t>
      </w:r>
      <w:r w:rsidR="00DC476B">
        <w:t>, 2022</w:t>
      </w:r>
    </w:p>
    <w:p w14:paraId="1C4CFC0E" w14:textId="6073DD9E" w:rsidR="0051713F" w:rsidRDefault="00DC476B" w:rsidP="0051713F">
      <w:pPr>
        <w:pStyle w:val="ListParagraph"/>
        <w:numPr>
          <w:ilvl w:val="0"/>
          <w:numId w:val="2"/>
        </w:numPr>
      </w:pPr>
      <w:r>
        <w:t>C</w:t>
      </w:r>
      <w:r w:rsidR="0051713F">
        <w:t xml:space="preserve">ross-reference certified </w:t>
      </w:r>
      <w:r>
        <w:t>2021</w:t>
      </w:r>
      <w:r w:rsidR="0051713F">
        <w:t xml:space="preserve"> data to informal data reporting </w:t>
      </w:r>
      <w:r>
        <w:t>by state and locals as repor</w:t>
      </w:r>
      <w:r w:rsidR="00102E61">
        <w:t xml:space="preserve">ted and </w:t>
      </w:r>
      <w:r>
        <w:t xml:space="preserve">summarized </w:t>
      </w:r>
      <w:r w:rsidR="0051713F">
        <w:t xml:space="preserve">in this </w:t>
      </w:r>
      <w:r w:rsidR="00102E61">
        <w:t>paper</w:t>
      </w:r>
      <w:r w:rsidR="00FD0B90">
        <w:t xml:space="preserve"> and presentation materials</w:t>
      </w:r>
    </w:p>
    <w:p w14:paraId="492BE7A7" w14:textId="77777777" w:rsidR="00BE1A9A" w:rsidRDefault="00001359" w:rsidP="00BE1A9A">
      <w:pPr>
        <w:pStyle w:val="ListParagraph"/>
        <w:numPr>
          <w:ilvl w:val="0"/>
          <w:numId w:val="2"/>
        </w:numPr>
      </w:pPr>
      <w:r>
        <w:t>Maps and graphs showing time periods and geographic areas broadly impacted by smoke</w:t>
      </w:r>
    </w:p>
    <w:p w14:paraId="4E5A7F14" w14:textId="4213B2B5" w:rsidR="00BE1A9A" w:rsidRDefault="00BE1A9A" w:rsidP="00BE1A9A">
      <w:pPr>
        <w:pStyle w:val="ListParagraph"/>
        <w:numPr>
          <w:ilvl w:val="0"/>
          <w:numId w:val="2"/>
        </w:numPr>
      </w:pPr>
      <w:r>
        <w:t>What does more site-days analysis accomplish?</w:t>
      </w:r>
    </w:p>
    <w:p w14:paraId="6FA25657" w14:textId="12E147C7" w:rsidR="00001359" w:rsidRPr="00001359" w:rsidRDefault="00001359" w:rsidP="0051713F">
      <w:pPr>
        <w:rPr>
          <w:u w:val="single"/>
        </w:rPr>
      </w:pPr>
      <w:r w:rsidRPr="00001359">
        <w:rPr>
          <w:u w:val="single"/>
        </w:rPr>
        <w:t>Possible Additional Analysis/Assessment Efforts</w:t>
      </w:r>
    </w:p>
    <w:p w14:paraId="113973DD" w14:textId="5AF09B6B" w:rsidR="00A863B4" w:rsidRDefault="00A863B4" w:rsidP="00A863B4">
      <w:pPr>
        <w:pStyle w:val="ListParagraph"/>
        <w:numPr>
          <w:ilvl w:val="0"/>
          <w:numId w:val="3"/>
        </w:numPr>
      </w:pPr>
      <w:r>
        <w:t>Regional analysis activities to support EE submittals by states and locals in the West</w:t>
      </w:r>
    </w:p>
    <w:p w14:paraId="7136757F" w14:textId="77777777" w:rsidR="00A863B4" w:rsidRDefault="00A863B4" w:rsidP="00A863B4">
      <w:pPr>
        <w:pStyle w:val="ListParagraph"/>
        <w:ind w:left="1440"/>
      </w:pPr>
    </w:p>
    <w:p w14:paraId="641A1DD1" w14:textId="60AE4377" w:rsidR="00962309" w:rsidRDefault="00962309" w:rsidP="00962309">
      <w:pPr>
        <w:pStyle w:val="ListParagraph"/>
        <w:numPr>
          <w:ilvl w:val="1"/>
          <w:numId w:val="3"/>
        </w:numPr>
      </w:pPr>
      <w:r>
        <w:t>What would be helpful for exceptional events analysis?</w:t>
      </w:r>
    </w:p>
    <w:p w14:paraId="06F557C6" w14:textId="77777777" w:rsidR="00962309" w:rsidRDefault="00962309" w:rsidP="00962309">
      <w:pPr>
        <w:pStyle w:val="ListParagraph"/>
        <w:ind w:left="1800"/>
      </w:pPr>
    </w:p>
    <w:p w14:paraId="0354C167" w14:textId="77777777" w:rsidR="00C57771" w:rsidRDefault="00962309" w:rsidP="00962309">
      <w:pPr>
        <w:pStyle w:val="ListParagraph"/>
        <w:numPr>
          <w:ilvl w:val="2"/>
          <w:numId w:val="3"/>
        </w:numPr>
        <w:ind w:left="1800"/>
      </w:pPr>
      <w:r>
        <w:t>Re</w:t>
      </w:r>
      <w:r w:rsidR="00C57771">
        <w:t>g</w:t>
      </w:r>
      <w:r>
        <w:t>ional information compilation that multiple agencies could use for context in support of EE submittals</w:t>
      </w:r>
    </w:p>
    <w:p w14:paraId="6D032761" w14:textId="77777777" w:rsidR="00C57771" w:rsidRDefault="00C57771" w:rsidP="00C57771">
      <w:pPr>
        <w:pStyle w:val="ListParagraph"/>
        <w:ind w:left="2880"/>
      </w:pPr>
    </w:p>
    <w:p w14:paraId="1C18402E" w14:textId="7C3708D4" w:rsidR="00C57771" w:rsidRDefault="00C57771" w:rsidP="00C57771">
      <w:pPr>
        <w:pStyle w:val="ListParagraph"/>
        <w:numPr>
          <w:ilvl w:val="3"/>
          <w:numId w:val="3"/>
        </w:numPr>
        <w:ind w:left="2160"/>
      </w:pPr>
      <w:r>
        <w:t>Describe which fires and where occurring (size, landowner, fire response, etc. [i.e., NIFC as source)</w:t>
      </w:r>
    </w:p>
    <w:p w14:paraId="2211C29D" w14:textId="77777777" w:rsidR="00C57771" w:rsidRDefault="00C57771" w:rsidP="00C57771">
      <w:pPr>
        <w:pStyle w:val="ListParagraph"/>
        <w:ind w:left="2160" w:hanging="360"/>
      </w:pPr>
    </w:p>
    <w:p w14:paraId="6271E650" w14:textId="665A9E88" w:rsidR="00C57771" w:rsidRDefault="00C57771" w:rsidP="00C57771">
      <w:pPr>
        <w:pStyle w:val="ListParagraph"/>
        <w:numPr>
          <w:ilvl w:val="3"/>
          <w:numId w:val="3"/>
        </w:numPr>
        <w:ind w:left="2160"/>
      </w:pPr>
      <w:r>
        <w:t>Emissions quantification?</w:t>
      </w:r>
    </w:p>
    <w:p w14:paraId="0BCAB326" w14:textId="77777777" w:rsidR="00C57771" w:rsidRDefault="00C57771" w:rsidP="00C57771">
      <w:pPr>
        <w:pStyle w:val="ListParagraph"/>
      </w:pPr>
    </w:p>
    <w:p w14:paraId="3FD6EBD0" w14:textId="77777777" w:rsidR="000C441F" w:rsidRDefault="00C57771" w:rsidP="00C57771">
      <w:pPr>
        <w:pStyle w:val="ListParagraph"/>
        <w:numPr>
          <w:ilvl w:val="3"/>
          <w:numId w:val="3"/>
        </w:numPr>
        <w:ind w:left="2160"/>
      </w:pPr>
      <w:r>
        <w:t>Remote sensing results showing regional fire activity and smoke transport</w:t>
      </w:r>
    </w:p>
    <w:p w14:paraId="33216C45" w14:textId="77777777" w:rsidR="000C441F" w:rsidRDefault="000C441F" w:rsidP="000C441F">
      <w:pPr>
        <w:pStyle w:val="ListParagraph"/>
      </w:pPr>
    </w:p>
    <w:p w14:paraId="185F13DC" w14:textId="1C24369E" w:rsidR="00962309" w:rsidRDefault="000C441F" w:rsidP="00C57771">
      <w:pPr>
        <w:pStyle w:val="ListParagraph"/>
        <w:numPr>
          <w:ilvl w:val="3"/>
          <w:numId w:val="3"/>
        </w:numPr>
        <w:ind w:left="2160"/>
      </w:pPr>
      <w:r>
        <w:t>Aggregation of supporting information (NWS ASOS, news reports, AirNow, forecasts, et cetera)</w:t>
      </w:r>
      <w:r w:rsidR="00962309">
        <w:t xml:space="preserve"> </w:t>
      </w:r>
    </w:p>
    <w:p w14:paraId="48905503" w14:textId="77777777" w:rsidR="00962309" w:rsidRDefault="00962309" w:rsidP="00962309">
      <w:pPr>
        <w:pStyle w:val="ListParagraph"/>
        <w:ind w:left="1440"/>
      </w:pPr>
    </w:p>
    <w:p w14:paraId="7866BEE9" w14:textId="06781A29" w:rsidR="00001359" w:rsidRDefault="00001359" w:rsidP="00A863B4">
      <w:pPr>
        <w:pStyle w:val="ListParagraph"/>
        <w:numPr>
          <w:ilvl w:val="1"/>
          <w:numId w:val="3"/>
        </w:numPr>
      </w:pPr>
      <w:r>
        <w:t>Formulate conceptual model of regional wildfire smoke impacts?</w:t>
      </w:r>
    </w:p>
    <w:p w14:paraId="1A8E1AAA" w14:textId="77777777" w:rsidR="00A863B4" w:rsidRDefault="00A863B4" w:rsidP="00A863B4">
      <w:pPr>
        <w:pStyle w:val="ListParagraph"/>
        <w:ind w:left="1800"/>
      </w:pPr>
    </w:p>
    <w:p w14:paraId="1CD745AA" w14:textId="77777777" w:rsidR="00E52A76" w:rsidRDefault="00885281" w:rsidP="00A863B4">
      <w:pPr>
        <w:pStyle w:val="ListParagraph"/>
        <w:numPr>
          <w:ilvl w:val="2"/>
          <w:numId w:val="3"/>
        </w:numPr>
        <w:ind w:left="1800"/>
      </w:pPr>
      <w:r>
        <w:t xml:space="preserve">Foster discussions for EPA offices, state and local air agencies to </w:t>
      </w:r>
      <w:r w:rsidR="000C441F">
        <w:t xml:space="preserve">plan and </w:t>
      </w:r>
      <w:r>
        <w:t>deliver regional results acceptable to EPA for EE submittals</w:t>
      </w:r>
      <w:r w:rsidR="00BE1A9A">
        <w:t xml:space="preserve">.  </w:t>
      </w:r>
    </w:p>
    <w:p w14:paraId="44A45186" w14:textId="77777777" w:rsidR="00E52A76" w:rsidRDefault="00E52A76" w:rsidP="00E52A76">
      <w:pPr>
        <w:pStyle w:val="ListParagraph"/>
        <w:ind w:left="2880"/>
      </w:pPr>
    </w:p>
    <w:p w14:paraId="01699535" w14:textId="21408E6B" w:rsidR="00BE1A9A" w:rsidRDefault="00BE1A9A" w:rsidP="00E52A76">
      <w:pPr>
        <w:pStyle w:val="ListParagraph"/>
        <w:numPr>
          <w:ilvl w:val="3"/>
          <w:numId w:val="3"/>
        </w:numPr>
        <w:ind w:left="2160"/>
      </w:pPr>
      <w:r>
        <w:t xml:space="preserve">How and with whom does a state or local develop mitigation plans with no additional analysis and planning resources for this amount of wildfire impacts? </w:t>
      </w:r>
    </w:p>
    <w:p w14:paraId="4BB187C3" w14:textId="4A8DCD4C" w:rsidR="00885281" w:rsidRDefault="00885281" w:rsidP="00A863B4">
      <w:pPr>
        <w:pStyle w:val="ListParagraph"/>
        <w:ind w:left="1800" w:hanging="360"/>
      </w:pPr>
    </w:p>
    <w:p w14:paraId="42554D19" w14:textId="013B2214" w:rsidR="00E52A76" w:rsidRDefault="00885281" w:rsidP="00A863B4">
      <w:pPr>
        <w:pStyle w:val="ListParagraph"/>
        <w:numPr>
          <w:ilvl w:val="2"/>
          <w:numId w:val="3"/>
        </w:numPr>
        <w:ind w:left="1800"/>
      </w:pPr>
      <w:r>
        <w:t>Clarify where</w:t>
      </w:r>
      <w:r w:rsidR="00BE1A9A">
        <w:t xml:space="preserve"> / when</w:t>
      </w:r>
      <w:r>
        <w:t xml:space="preserve"> </w:t>
      </w:r>
      <w:r w:rsidR="00BE1A9A">
        <w:t xml:space="preserve">monitoring data are showing </w:t>
      </w:r>
      <w:r>
        <w:t xml:space="preserve">real </w:t>
      </w:r>
      <w:r w:rsidR="00BE1A9A">
        <w:t xml:space="preserve">health </w:t>
      </w:r>
      <w:r>
        <w:t xml:space="preserve">impacts </w:t>
      </w:r>
      <w:r w:rsidR="00FD0B90">
        <w:t xml:space="preserve">measured as elevated concentrations and/or NAAQS exceedances </w:t>
      </w:r>
      <w:r w:rsidR="00BE1A9A">
        <w:t xml:space="preserve">but are not acceptable as EEs.  </w:t>
      </w:r>
    </w:p>
    <w:p w14:paraId="669FF32A" w14:textId="77777777" w:rsidR="00E52A76" w:rsidRDefault="00E52A76" w:rsidP="00E52A76">
      <w:pPr>
        <w:pStyle w:val="ListParagraph"/>
        <w:ind w:left="2880"/>
      </w:pPr>
    </w:p>
    <w:p w14:paraId="5E07BF41" w14:textId="5497186E" w:rsidR="00BE1A9A" w:rsidRDefault="00BE1A9A" w:rsidP="00E52A76">
      <w:pPr>
        <w:pStyle w:val="ListParagraph"/>
        <w:numPr>
          <w:ilvl w:val="3"/>
          <w:numId w:val="3"/>
        </w:numPr>
        <w:ind w:left="2160"/>
      </w:pPr>
      <w:r>
        <w:t>How and with whom does a state or local develop plans or programs to communicate what those impact</w:t>
      </w:r>
      <w:r w:rsidR="00FD0B90">
        <w:t>s</w:t>
      </w:r>
      <w:r>
        <w:t xml:space="preserve"> mean?</w:t>
      </w:r>
    </w:p>
    <w:p w14:paraId="38141477" w14:textId="6A4112A7" w:rsidR="00885281" w:rsidRDefault="00885281" w:rsidP="00E52A76">
      <w:pPr>
        <w:pStyle w:val="ListParagraph"/>
        <w:ind w:left="2160" w:hanging="360"/>
      </w:pPr>
    </w:p>
    <w:p w14:paraId="48D10CD3" w14:textId="3B685AAD" w:rsidR="00E52A76" w:rsidRDefault="00FD0B90" w:rsidP="00A863B4">
      <w:pPr>
        <w:pStyle w:val="ListParagraph"/>
        <w:numPr>
          <w:ilvl w:val="2"/>
          <w:numId w:val="3"/>
        </w:numPr>
        <w:ind w:left="1800"/>
      </w:pPr>
      <w:r>
        <w:t>Relative to trends in western wildfire activity and smoke transport, h</w:t>
      </w:r>
      <w:r w:rsidR="00BE1A9A">
        <w:t xml:space="preserve">ow does a state or local </w:t>
      </w:r>
      <w:r>
        <w:t xml:space="preserve">air agency </w:t>
      </w:r>
      <w:r w:rsidR="00BE1A9A">
        <w:t xml:space="preserve">plan now for more </w:t>
      </w:r>
      <w:r w:rsidR="0051713F">
        <w:t xml:space="preserve">stringent future levels </w:t>
      </w:r>
      <w:r>
        <w:t>of</w:t>
      </w:r>
      <w:r w:rsidR="0051713F">
        <w:t xml:space="preserve"> </w:t>
      </w:r>
      <w:r>
        <w:t xml:space="preserve">the </w:t>
      </w:r>
      <w:r w:rsidR="0051713F">
        <w:t>PM and Ozone NAAQS</w:t>
      </w:r>
      <w:r w:rsidR="00BE1A9A">
        <w:t>?</w:t>
      </w:r>
    </w:p>
    <w:p w14:paraId="16E5E67A" w14:textId="77777777" w:rsidR="00E52A76" w:rsidRDefault="00E52A76" w:rsidP="00E52A76">
      <w:pPr>
        <w:pStyle w:val="ListParagraph"/>
      </w:pPr>
    </w:p>
    <w:p w14:paraId="1C08C306" w14:textId="77777777" w:rsidR="00E52A76" w:rsidRDefault="00E52A76" w:rsidP="00E52A76">
      <w:pPr>
        <w:pStyle w:val="ListParagraph"/>
        <w:numPr>
          <w:ilvl w:val="3"/>
          <w:numId w:val="3"/>
        </w:numPr>
        <w:ind w:left="2160"/>
      </w:pPr>
      <w:r>
        <w:t>What else needs to be monitored?</w:t>
      </w:r>
    </w:p>
    <w:p w14:paraId="0749318F" w14:textId="6FF75CE9" w:rsidR="00A863B4" w:rsidRDefault="00BE1A9A" w:rsidP="00E52A76">
      <w:pPr>
        <w:pStyle w:val="ListParagraph"/>
        <w:numPr>
          <w:ilvl w:val="3"/>
          <w:numId w:val="3"/>
        </w:numPr>
        <w:ind w:left="2160"/>
      </w:pPr>
      <w:r>
        <w:t>How and with whom does a state or local</w:t>
      </w:r>
      <w:r w:rsidR="00A863B4">
        <w:t xml:space="preserve"> conduct such planning?</w:t>
      </w:r>
    </w:p>
    <w:p w14:paraId="1DFEEC54" w14:textId="77777777" w:rsidR="00A863B4" w:rsidRDefault="00A863B4" w:rsidP="00A863B4">
      <w:pPr>
        <w:pStyle w:val="ListParagraph"/>
      </w:pPr>
    </w:p>
    <w:p w14:paraId="65AE5AC5" w14:textId="43F2D08C" w:rsidR="00BE1A9A" w:rsidRDefault="00BE1A9A" w:rsidP="00A863B4">
      <w:pPr>
        <w:pStyle w:val="ListParagraph"/>
        <w:numPr>
          <w:ilvl w:val="1"/>
          <w:numId w:val="3"/>
        </w:numPr>
      </w:pPr>
      <w:r>
        <w:t xml:space="preserve"> </w:t>
      </w:r>
      <w:r w:rsidR="00A863B4">
        <w:t>Conduct and deliver specific te</w:t>
      </w:r>
      <w:r w:rsidR="00962309">
        <w:t>c</w:t>
      </w:r>
      <w:r w:rsidR="00A863B4">
        <w:t>hn</w:t>
      </w:r>
      <w:r w:rsidR="00962309">
        <w:t>ic</w:t>
      </w:r>
      <w:r w:rsidR="00A863B4">
        <w:t>al analytical resul</w:t>
      </w:r>
      <w:r w:rsidR="00962309">
        <w:t>t</w:t>
      </w:r>
      <w:r w:rsidR="00A863B4">
        <w:t>s</w:t>
      </w:r>
      <w:r w:rsidR="00962309">
        <w:t xml:space="preserve"> via </w:t>
      </w:r>
      <w:proofErr w:type="gramStart"/>
      <w:r w:rsidR="00962309">
        <w:t>publicly-accessible</w:t>
      </w:r>
      <w:proofErr w:type="gramEnd"/>
      <w:r w:rsidR="00962309">
        <w:t xml:space="preserve"> website</w:t>
      </w:r>
    </w:p>
    <w:p w14:paraId="274A3975" w14:textId="77777777" w:rsidR="00962309" w:rsidRDefault="00962309" w:rsidP="00962309">
      <w:pPr>
        <w:pStyle w:val="ListParagraph"/>
        <w:ind w:left="2160"/>
      </w:pPr>
    </w:p>
    <w:p w14:paraId="03A8E2E9" w14:textId="258131DD" w:rsidR="00A863B4" w:rsidRDefault="00A863B4" w:rsidP="00962309">
      <w:pPr>
        <w:pStyle w:val="ListParagraph"/>
        <w:numPr>
          <w:ilvl w:val="2"/>
          <w:numId w:val="3"/>
        </w:numPr>
        <w:ind w:left="1800"/>
      </w:pPr>
      <w:r>
        <w:t>Back tra</w:t>
      </w:r>
      <w:r w:rsidR="00962309">
        <w:t>jec</w:t>
      </w:r>
      <w:r>
        <w:t>tori</w:t>
      </w:r>
      <w:r w:rsidR="00962309">
        <w:t>e</w:t>
      </w:r>
      <w:r>
        <w:t>s / air mass residence times</w:t>
      </w:r>
      <w:r w:rsidR="00962309">
        <w:t xml:space="preserve"> and potential for wildfire emissions to contribute</w:t>
      </w:r>
      <w:r>
        <w:t xml:space="preserve"> (similar to </w:t>
      </w:r>
      <w:hyperlink r:id="rId7" w:history="1">
        <w:r>
          <w:rPr>
            <w:rStyle w:val="Hyperlink"/>
          </w:rPr>
          <w:t>TSS Weighted Emissions Potential and Area of Influence</w:t>
        </w:r>
      </w:hyperlink>
      <w:r w:rsidR="00962309">
        <w:t>)</w:t>
      </w:r>
      <w:r>
        <w:t xml:space="preserve"> </w:t>
      </w:r>
    </w:p>
    <w:p w14:paraId="43B6D233" w14:textId="77777777" w:rsidR="00E52A76" w:rsidRDefault="00E52A76" w:rsidP="00E52A76">
      <w:pPr>
        <w:pStyle w:val="ListParagraph"/>
        <w:ind w:left="2160"/>
      </w:pPr>
    </w:p>
    <w:p w14:paraId="6862A1E8" w14:textId="36878CD6" w:rsidR="00E52A76" w:rsidRDefault="00E52A76" w:rsidP="00E52A76">
      <w:pPr>
        <w:pStyle w:val="ListParagraph"/>
        <w:numPr>
          <w:ilvl w:val="3"/>
          <w:numId w:val="3"/>
        </w:numPr>
        <w:ind w:left="2160"/>
      </w:pPr>
      <w:r>
        <w:t>Repeatable year-to-year</w:t>
      </w:r>
    </w:p>
    <w:p w14:paraId="59F7721B" w14:textId="0932ADBC" w:rsidR="00E52A76" w:rsidRDefault="00E52A76" w:rsidP="00E52A76">
      <w:pPr>
        <w:pStyle w:val="ListParagraph"/>
        <w:numPr>
          <w:ilvl w:val="3"/>
          <w:numId w:val="3"/>
        </w:numPr>
        <w:ind w:left="2160"/>
      </w:pPr>
      <w:r>
        <w:t>Emissions data from the future Wildland Fire Emissions Data Warehouse</w:t>
      </w:r>
    </w:p>
    <w:p w14:paraId="4FBE94BF" w14:textId="77777777" w:rsidR="00962309" w:rsidRDefault="00962309" w:rsidP="00962309">
      <w:pPr>
        <w:pStyle w:val="ListParagraph"/>
        <w:ind w:left="1800"/>
      </w:pPr>
    </w:p>
    <w:p w14:paraId="47F12647" w14:textId="6E280AA7" w:rsidR="00962309" w:rsidRDefault="00962309" w:rsidP="00962309">
      <w:pPr>
        <w:pStyle w:val="ListParagraph"/>
        <w:numPr>
          <w:ilvl w:val="2"/>
          <w:numId w:val="3"/>
        </w:numPr>
        <w:ind w:left="1800"/>
      </w:pPr>
      <w:r>
        <w:t>Analysis of photochemical ozone potential</w:t>
      </w:r>
      <w:r w:rsidR="00E52A76">
        <w:t xml:space="preserve"> and fire’s contribution</w:t>
      </w:r>
    </w:p>
    <w:p w14:paraId="4CFB7892" w14:textId="77777777" w:rsidR="00962309" w:rsidRDefault="00962309" w:rsidP="00962309">
      <w:pPr>
        <w:pStyle w:val="ListParagraph"/>
      </w:pPr>
    </w:p>
    <w:p w14:paraId="4819D563" w14:textId="6ED92509" w:rsidR="00962309" w:rsidRDefault="00C57771" w:rsidP="00962309">
      <w:pPr>
        <w:pStyle w:val="ListParagraph"/>
        <w:numPr>
          <w:ilvl w:val="2"/>
          <w:numId w:val="3"/>
        </w:numPr>
        <w:ind w:left="1800"/>
      </w:pPr>
      <w:r>
        <w:t>other</w:t>
      </w:r>
    </w:p>
    <w:sectPr w:rsidR="00962309" w:rsidSect="00FD0B90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5F4"/>
    <w:multiLevelType w:val="hybridMultilevel"/>
    <w:tmpl w:val="1F06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71F9"/>
    <w:multiLevelType w:val="hybridMultilevel"/>
    <w:tmpl w:val="398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31C2F"/>
    <w:multiLevelType w:val="hybridMultilevel"/>
    <w:tmpl w:val="D98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89270">
    <w:abstractNumId w:val="1"/>
  </w:num>
  <w:num w:numId="2" w16cid:durableId="1968273919">
    <w:abstractNumId w:val="2"/>
  </w:num>
  <w:num w:numId="3" w16cid:durableId="19276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3F"/>
    <w:rsid w:val="00001359"/>
    <w:rsid w:val="000C441F"/>
    <w:rsid w:val="00102E61"/>
    <w:rsid w:val="00181EB8"/>
    <w:rsid w:val="002C7056"/>
    <w:rsid w:val="0051713F"/>
    <w:rsid w:val="005A6012"/>
    <w:rsid w:val="00747116"/>
    <w:rsid w:val="00885281"/>
    <w:rsid w:val="00962309"/>
    <w:rsid w:val="00995393"/>
    <w:rsid w:val="00A863B4"/>
    <w:rsid w:val="00BC3887"/>
    <w:rsid w:val="00BE1A9A"/>
    <w:rsid w:val="00C54023"/>
    <w:rsid w:val="00C57771"/>
    <w:rsid w:val="00DC476B"/>
    <w:rsid w:val="00E52A76"/>
    <w:rsid w:val="00F96F63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F93C"/>
  <w15:chartTrackingRefBased/>
  <w15:docId w15:val="{81288F86-8FF2-46AE-9C00-F2A2966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s.cira.colostate.edu/tssv2/WEP-A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Moore</dc:creator>
  <cp:keywords/>
  <dc:description/>
  <cp:lastModifiedBy>Tom Moore</cp:lastModifiedBy>
  <cp:revision>2</cp:revision>
  <dcterms:created xsi:type="dcterms:W3CDTF">2022-05-18T14:55:00Z</dcterms:created>
  <dcterms:modified xsi:type="dcterms:W3CDTF">2022-05-18T14:55:00Z</dcterms:modified>
</cp:coreProperties>
</file>